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河道管理范围内建设项目工程建设方案审查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模板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申请书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河道管理范围内</w:t>
      </w:r>
      <w:r>
        <w:rPr>
          <w:rFonts w:hint="eastAsia" w:ascii="宋体" w:hAnsi="宋体" w:eastAsia="宋体" w:cs="Times New Roman"/>
          <w:b/>
          <w:sz w:val="36"/>
          <w:szCs w:val="36"/>
        </w:rPr>
        <w:t>建设项目工程建设方案审查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申请书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建设单位名称（加盖公章）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月  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pPr w:leftFromText="180" w:rightFromText="180" w:vertAnchor="text" w:horzAnchor="page" w:tblpX="1432" w:tblpY="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500"/>
        <w:gridCol w:w="1775"/>
        <w:gridCol w:w="21"/>
        <w:gridCol w:w="1639"/>
        <w:gridCol w:w="6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  <w:gridSpan w:val="7"/>
            <w:noWrap w:val="0"/>
            <w:vAlign w:val="top"/>
          </w:tcPr>
          <w:p>
            <w:pPr>
              <w:pStyle w:val="6"/>
              <w:spacing w:line="540" w:lineRule="exact"/>
              <w:ind w:firstLine="562"/>
              <w:jc w:val="center"/>
              <w:rPr>
                <w:rFonts w:hAnsi="宋体"/>
                <w:b/>
                <w:sz w:val="32"/>
                <w:szCs w:val="32"/>
              </w:rPr>
            </w:pPr>
            <w:r>
              <w:rPr>
                <w:rFonts w:hAnsi="宋体"/>
                <w:b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建设地点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（具体到区市、镇、村，需含所涉河流名称及桩号）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建设单位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spacing w:val="-11"/>
                <w:w w:val="90"/>
                <w:sz w:val="24"/>
                <w:szCs w:val="24"/>
              </w:rPr>
              <w:t>统一社会信用代码</w:t>
            </w:r>
          </w:p>
        </w:tc>
        <w:tc>
          <w:tcPr>
            <w:tcW w:w="3275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建设单位</w:t>
            </w:r>
          </w:p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5872" w:type="dxa"/>
            <w:gridSpan w:val="5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vMerge w:val="restart"/>
            <w:noWrap w:val="0"/>
            <w:vAlign w:val="center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建设单位</w:t>
            </w:r>
          </w:p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437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5872" w:type="dxa"/>
            <w:gridSpan w:val="5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vMerge w:val="continue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96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项目设计单位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电话及邮箱</w:t>
            </w:r>
          </w:p>
        </w:tc>
        <w:tc>
          <w:tcPr>
            <w:tcW w:w="4097" w:type="dxa"/>
            <w:gridSpan w:val="4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防洪评价报告</w:t>
            </w:r>
          </w:p>
          <w:p>
            <w:pPr>
              <w:pStyle w:val="6"/>
              <w:spacing w:line="3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编制单位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电话及邮箱</w:t>
            </w:r>
          </w:p>
        </w:tc>
        <w:tc>
          <w:tcPr>
            <w:tcW w:w="4097" w:type="dxa"/>
            <w:gridSpan w:val="4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计划工期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天数（计划开工日期—计划完工日期）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5" w:type="dxa"/>
            <w:noWrap w:val="0"/>
            <w:vAlign w:val="top"/>
          </w:tcPr>
          <w:p>
            <w:pPr>
              <w:pStyle w:val="6"/>
              <w:spacing w:line="54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372" w:type="dxa"/>
            <w:gridSpan w:val="6"/>
            <w:noWrap w:val="0"/>
            <w:vAlign w:val="top"/>
          </w:tcPr>
          <w:p>
            <w:pPr>
              <w:pStyle w:val="6"/>
              <w:spacing w:line="54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（其它需说明的情况可在此栏填写）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莱西市行政审批服务局：</w:t>
            </w:r>
          </w:p>
          <w:p>
            <w:pPr>
              <w:pStyle w:val="6"/>
              <w:spacing w:line="560" w:lineRule="exact"/>
              <w:ind w:firstLine="560"/>
              <w:rPr>
                <w:rFonts w:ascii="仿宋_GB2312" w:hAnsi="ˎ̥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我单位拟建设</w:t>
            </w:r>
            <w:r>
              <w:rPr>
                <w:rFonts w:ascii="仿宋_GB2312" w:hAnsi="宋体" w:eastAsia="仿宋_GB2312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>项目，</w:t>
            </w:r>
            <w:r>
              <w:rPr>
                <w:rFonts w:ascii="仿宋_GB2312" w:hAnsi="宋体" w:eastAsia="仿宋_GB2312"/>
                <w:color w:val="FF0000"/>
                <w:sz w:val="28"/>
                <w:szCs w:val="28"/>
              </w:rPr>
              <w:t>（简介项目——建设缘由、地点、所涉河流及桩号、性质、主要内容、前期批准情况等）。</w:t>
            </w:r>
          </w:p>
          <w:p>
            <w:pPr>
              <w:pStyle w:val="6"/>
              <w:spacing w:line="560" w:lineRule="exact"/>
              <w:ind w:firstLine="560"/>
              <w:rPr>
                <w:rFonts w:hint="default" w:ascii="仿宋_GB2312" w:hAnsi="ˎ̥" w:eastAsia="仿宋_GB2312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ascii="仿宋_GB2312" w:hAnsi="ˎ̥" w:eastAsia="仿宋_GB2312" w:cs="宋体"/>
                <w:sz w:val="28"/>
                <w:szCs w:val="28"/>
              </w:rPr>
              <w:t>现授权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（工作单位：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，职务：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，身份证号：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，联系电话：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）为我单位的委托代理人，以我单位的名义提出该项目</w:t>
            </w:r>
            <w:r>
              <w:rPr>
                <w:rFonts w:ascii="仿宋_GB2312" w:hAnsi="ˎ̥" w:eastAsia="仿宋_GB2312" w:cs="宋体"/>
                <w:sz w:val="28"/>
                <w:szCs w:val="28"/>
                <w:u w:val="single"/>
              </w:rPr>
              <w:t xml:space="preserve"> 河道管理范围内建设方案审查 </w:t>
            </w:r>
            <w:r>
              <w:rPr>
                <w:rFonts w:ascii="仿宋_GB2312" w:hAnsi="ˎ̥" w:eastAsia="仿宋_GB2312" w:cs="宋体"/>
                <w:sz w:val="28"/>
                <w:szCs w:val="28"/>
              </w:rPr>
              <w:t>申请。受委托人在办理该行政许可事项活动中签署的一切文件，我单位均予以承认。</w:t>
            </w:r>
            <w:r>
              <w:rPr>
                <w:rFonts w:hint="eastAsia" w:ascii="仿宋_GB2312" w:hAnsi="ˎ̥" w:eastAsia="仿宋_GB2312" w:cs="宋体"/>
                <w:sz w:val="28"/>
                <w:szCs w:val="28"/>
                <w:lang w:eastAsia="zh-CN"/>
              </w:rPr>
              <w:t>委托期限自</w:t>
            </w:r>
            <w:r>
              <w:rPr>
                <w:rFonts w:hint="eastAsia" w:ascii="仿宋_GB2312" w:hAnsi="ˎ̥" w:eastAsia="仿宋_GB2312" w:cs="宋体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ˎ̥" w:eastAsia="仿宋_GB2312" w:cs="宋体"/>
                <w:sz w:val="28"/>
                <w:szCs w:val="28"/>
                <w:u w:val="none"/>
                <w:lang w:val="en-US" w:eastAsia="zh-CN"/>
              </w:rPr>
              <w:t>至</w:t>
            </w:r>
            <w:r>
              <w:rPr>
                <w:rFonts w:hint="eastAsia" w:ascii="仿宋_GB2312" w:hAnsi="ˎ̥" w:eastAsia="仿宋_GB2312" w:cs="宋体"/>
                <w:sz w:val="28"/>
                <w:szCs w:val="28"/>
                <w:u w:val="single"/>
                <w:lang w:val="en-US" w:eastAsia="zh-CN"/>
              </w:rPr>
              <w:t xml:space="preserve">               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根据《</w:t>
            </w:r>
            <w:r>
              <w:rPr>
                <w:rFonts w:hint="eastAsia" w:ascii="仿宋_GB2312" w:hAnsi="仿宋" w:eastAsia="仿宋_GB2312" w:cs="Tahoma"/>
                <w:sz w:val="28"/>
                <w:szCs w:val="28"/>
              </w:rPr>
              <w:t>中华人民共和国行政许可法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》、</w:t>
            </w:r>
            <w:r>
              <w:rPr>
                <w:rFonts w:hint="eastAsia" w:ascii="仿宋_GB2312" w:hAnsi="仿宋" w:eastAsia="仿宋_GB2312" w:cs="Tahoma"/>
                <w:sz w:val="28"/>
                <w:szCs w:val="28"/>
              </w:rPr>
              <w:t>《中华人民共和国水法》、《中华人民共和国防洪法》等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法律法规规定，承诺如下：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一、提交的材料真实有效，如有虚假，愿承担相应法律责任。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通过贵局审查后，我单位将严格遵守相关水法律法规和贵局审查意见及相关要求，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不擅自更改建设方案。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三、工程建设期间，认真履行相关责任和义务，服从河道管理部门的监督管理，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并签订有关协议，按照要求完成防洪影响补救措施，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对于存在的问题及时进行整改。施工过程中注意保护水利工程设施，工程完工后及时清理施工现场，恢复河道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原貌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，并接受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水利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部门的检查验收，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保证河道的防洪安全。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四、工程建设不影响第三人合法水事权益；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若涉及第三人合法水事权益，由我单位妥善解决，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并提供相关材料。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五、工程施工和运营期间，如遇河道治理和防洪标准提高，积极配合河道管理部门，服从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水利规划和防洪建设</w:t>
            </w:r>
            <w:r>
              <w:rPr>
                <w:rFonts w:hint="eastAsia" w:ascii="仿宋_GB2312" w:eastAsia="仿宋_GB2312"/>
                <w:sz w:val="28"/>
                <w:szCs w:val="28"/>
              </w:rPr>
              <w:t>要求。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六、如工程移交其他单位运营管理，将与之约定共同遵守本承诺的相关责任和义务。</w:t>
            </w:r>
          </w:p>
          <w:p>
            <w:pPr>
              <w:widowControl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、严格遵守信息公示相关规定;同意将承诺内容上网公示，接受社会监督；同意将自身信用信息和信用承诺纳入莱西市信用信息共享平台。违背承诺约定将承担违约责任，并接受法律法规和相关部门规章制度的惩戒和约束。</w: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6"/>
              <w:spacing w:line="560" w:lineRule="exact"/>
              <w:ind w:firstLine="4928" w:firstLineChars="17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建设单位名称（加盖公章）</w:t>
            </w:r>
          </w:p>
          <w:p>
            <w:pPr>
              <w:pStyle w:val="6"/>
              <w:spacing w:line="560" w:lineRule="exact"/>
              <w:ind w:firstLine="6160" w:firstLineChars="2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月  日</w:t>
            </w:r>
          </w:p>
          <w:p>
            <w:pPr>
              <w:pStyle w:val="6"/>
              <w:spacing w:line="54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7"/>
            <w:noWrap w:val="0"/>
            <w:vAlign w:val="top"/>
          </w:tcPr>
          <w:p>
            <w:pPr>
              <w:pStyle w:val="6"/>
              <w:spacing w:line="540" w:lineRule="exact"/>
              <w:ind w:firstLine="562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以下栏目由有关水利工程管理单位填写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7"/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与水工程有关的水利工程管理单位意见：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（单位印章）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（签章）</w:t>
            </w:r>
            <w:r>
              <w:rPr>
                <w:sz w:val="24"/>
              </w:rPr>
              <w:t xml:space="preserve">                           </w:t>
            </w:r>
          </w:p>
          <w:p>
            <w:pPr>
              <w:pStyle w:val="6"/>
              <w:spacing w:line="540" w:lineRule="exact"/>
              <w:ind w:firstLine="48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年  月  日</w:t>
            </w:r>
          </w:p>
        </w:tc>
      </w:tr>
    </w:tbl>
    <w:p>
      <w:pPr>
        <w:pStyle w:val="6"/>
        <w:spacing w:line="54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54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432" w:tblpY="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noWrap w:val="0"/>
            <w:vAlign w:val="top"/>
          </w:tcPr>
          <w:p>
            <w:pPr>
              <w:pStyle w:val="6"/>
              <w:spacing w:line="540" w:lineRule="exact"/>
              <w:ind w:firstLine="562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以下栏目由有关水行政主管部门填写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noWrap w:val="0"/>
            <w:vAlign w:val="top"/>
          </w:tcPr>
          <w:p>
            <w:pPr>
              <w:spacing w:before="156" w:beforeLines="5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与水工程有关的</w:t>
            </w:r>
            <w:r>
              <w:rPr>
                <w:rFonts w:hint="eastAsia"/>
                <w:color w:val="FF0000"/>
                <w:sz w:val="24"/>
              </w:rPr>
              <w:t>水行政主管部门意见：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rFonts w:hint="eastAsia"/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（单位印章）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（签章）</w:t>
            </w:r>
            <w:r>
              <w:rPr>
                <w:sz w:val="24"/>
              </w:rPr>
              <w:t xml:space="preserve">                           </w:t>
            </w:r>
          </w:p>
          <w:p>
            <w:pPr>
              <w:pStyle w:val="6"/>
              <w:spacing w:line="540" w:lineRule="exact"/>
              <w:ind w:firstLine="48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年  月  日</w:t>
            </w:r>
          </w:p>
        </w:tc>
      </w:tr>
    </w:tbl>
    <w:p>
      <w:pPr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ge">
              <wp:posOffset>1392555</wp:posOffset>
            </wp:positionV>
            <wp:extent cx="5273675" cy="7031990"/>
            <wp:effectExtent l="0" t="0" r="3175" b="16510"/>
            <wp:wrapTopAndBottom/>
            <wp:docPr id="5" name="图片 3" descr="C:\Users\Administrator\Desktop\IMG_004.jpgIMG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istrator\Desktop\IMG_004.jpgIMG_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建设项目批准、核准文件或备案凭证</w:t>
      </w:r>
    </w:p>
    <w:p>
      <w:pPr>
        <w:numPr>
          <w:numId w:val="0"/>
        </w:numPr>
        <w:ind w:leftChars="0"/>
        <w:jc w:val="both"/>
      </w:pPr>
      <w:r>
        <w:drawing>
          <wp:inline distT="0" distB="0" distL="0" distR="0">
            <wp:extent cx="5273675" cy="7031990"/>
            <wp:effectExtent l="0" t="0" r="3175" b="16510"/>
            <wp:docPr id="8" name="图片 4" descr="C:\Users\Administrator\Desktop\IMG_005.jpg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Administrator\Desktop\IMG_005.jpgIMG_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numId w:val="0"/>
        </w:numPr>
        <w:ind w:leftChars="0"/>
        <w:jc w:val="both"/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建设项目涉及河道与防洪部分的建设方案（含图纸）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建设项目防洪评价报告</w:t>
      </w: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根据《河道管理范围内建设项目防洪评价报告编制导则（试行）》自行或者由第三方编制。</w:t>
      </w: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24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建设项目防洪影响补救工程专项设计方案。</w:t>
      </w:r>
    </w:p>
    <w:p>
      <w:pPr>
        <w:numPr>
          <w:numId w:val="0"/>
        </w:numPr>
        <w:ind w:leftChars="0" w:firstLine="560" w:firstLineChars="200"/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根据《河道管理范围内建设项目防洪评价报告编制导则（试行）》编制。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该材料为非必要件，是根据防洪评价报告里的内容，如果这个项目影响防洪了，需要提交补救的专项工程设计。</w:t>
      </w:r>
    </w:p>
    <w:p>
      <w:pPr>
        <w:numPr>
          <w:numId w:val="0"/>
        </w:numPr>
        <w:ind w:leftChars="0" w:firstLine="562" w:firstLineChars="200"/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建设项目工程建设期间和运营期间服从水利建设和管理的承诺函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（申请人）关于××工程建设的承诺函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我单位拟建设的××工程建设方案已报贵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审查。通过贵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审查后，我单位将严格遵守相关水法律法规和贵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审查意见要求，并作出以下承诺：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一、在工程建设期间，认真履行相关责任和义务，服从河道管理部门的管理，并签订有关协议，按照要求完成防洪影响补救措施，保证及时清理施工现场，恢复河道原貌并接受水利部门的检查验收，保证河道的防洪安全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二、工程施工和运营期间，如遇河道治理和防洪标准提高，积极配合河道管理部门，服从水利规划和防洪建设的要求。</w:t>
      </w:r>
    </w:p>
    <w:p>
      <w:pPr>
        <w:ind w:firstLine="600" w:firstLineChars="200"/>
        <w:rPr>
          <w:rFonts w:hint="eastAsia" w:ascii="仿宋_GB2312" w:hAnsi="华文中宋" w:eastAsia="仿宋_GB2312"/>
          <w:b/>
          <w:color w:val="FF0000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三、如工程移交其他单位运营管理，将与之约定共同遵守本承诺的相关责任和义务。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650" w:firstLineChars="155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ind w:firstLine="675" w:firstLineChars="225"/>
        <w:rPr>
          <w:rFonts w:hint="eastAsia"/>
          <w:sz w:val="30"/>
          <w:szCs w:val="30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建设项目涉及第三方合法水事权益的，提供与第三人协议；不涉及的，提供承诺函。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（申请人）关于××工程影响第三人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合法水事权益问题的承诺函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××工程建设方案已报贵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审查，经我单位及设计单位初步调查，不存在影响第三人合法水事权益的问题。若涉及第三人合法水事权益，由我单位妥善解决，特此承诺。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500" w:firstLineChars="15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numPr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8ADCB"/>
    <w:multiLevelType w:val="singleLevel"/>
    <w:tmpl w:val="05B8AD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basedOn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2021-07-12T02:19:06Z</dcterms:created>
  <dc:creator>Administrator</dc:creator>
  <cp:lastModifiedBy>Administrator</cp:lastModifiedBy>
  <dcterms:modified xsi:type="dcterms:W3CDTF">2021-07-12T02:44:24Z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1C0C63AE175A42D0BC93074E75E0E957</vt:lpwstr>
  </property>
</Properties>
</file>